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“300 Poster.”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Movieposter.com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eu.movieposter.com/poster/MPW-23465/300.html.</w:t>
      </w:r>
    </w:p>
    <w:p w:rsidR="00000000" w:rsidDel="00000000" w:rsidP="00000000" w:rsidRDefault="00000000" w:rsidRPr="00000000" w14:paraId="00000002">
      <w:pPr>
        <w:shd w:fill="ffffff" w:val="clear"/>
        <w:spacing w:after="160" w:line="240" w:lineRule="auto"/>
        <w:rPr>
          <w:i w:val="1"/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“African American.”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VISIT Milwaukee</w:t>
      </w:r>
      <w:r w:rsidDel="00000000" w:rsidR="00000000" w:rsidRPr="00000000">
        <w:rPr>
          <w:sz w:val="20"/>
          <w:szCs w:val="20"/>
          <w:rtl w:val="0"/>
        </w:rPr>
        <w:t xml:space="preserve">, VISIT Milwaukee, 2018, </w:t>
      </w:r>
      <w:hyperlink r:id="rId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www.visitmilwaukee.org/about-mke/diversity-and-inclusion/african-american</w:t>
        </w:r>
      </w:hyperlink>
      <w:r w:rsidDel="00000000" w:rsidR="00000000" w:rsidRPr="00000000">
        <w:rPr>
          <w:i w:val="1"/>
          <w:color w:val="1155cc"/>
          <w:sz w:val="20"/>
          <w:szCs w:val="20"/>
          <w:rtl w:val="0"/>
        </w:rPr>
        <w:t xml:space="preserve">/.</w:t>
      </w:r>
    </w:p>
    <w:p w:rsidR="00000000" w:rsidDel="00000000" w:rsidP="00000000" w:rsidRDefault="00000000" w:rsidRPr="00000000" w14:paraId="00000003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Bethesda.net</w:t>
      </w:r>
      <w:r w:rsidDel="00000000" w:rsidR="00000000" w:rsidRPr="00000000">
        <w:rPr>
          <w:sz w:val="20"/>
          <w:szCs w:val="20"/>
          <w:rtl w:val="0"/>
        </w:rPr>
        <w:t xml:space="preserve">, Bethesda Softworks, </w:t>
      </w:r>
      <w:hyperlink r:id="rId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bethesda.net/en/dashboard.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Britannica, The Editors of Encyclopaedia. “Flag.”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Encyclopædia Britannica</w:t>
      </w:r>
      <w:r w:rsidDel="00000000" w:rsidR="00000000" w:rsidRPr="00000000">
        <w:rPr>
          <w:sz w:val="20"/>
          <w:szCs w:val="20"/>
          <w:rtl w:val="0"/>
        </w:rPr>
        <w:t xml:space="preserve">, Encyclopædia Britannica, Inc., 5 July 2016, </w:t>
      </w:r>
      <w:hyperlink r:id="rId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www.britannica.com/topic/flag-heraldry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Cafe Terrace At Night"." Cafe Terrace at Night, 1888 by Vincent Van Gogh. Accessed March 18, 2019. </w:t>
      </w:r>
      <w:hyperlink r:id="rId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https://www.impressionists.org/cafe-terrace-at-night.jsp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Close, Chuck. “Linda.”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Chuck Close | Linda, 1975-1976</w:t>
      </w:r>
      <w:r w:rsidDel="00000000" w:rsidR="00000000" w:rsidRPr="00000000">
        <w:rPr>
          <w:sz w:val="20"/>
          <w:szCs w:val="20"/>
          <w:rtl w:val="0"/>
        </w:rPr>
        <w:t xml:space="preserve">, Chuck Close, 2014, </w:t>
      </w:r>
      <w:hyperlink r:id="rId1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chuckclose.com/work059.html.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Close, Chuck. “Linda - Online Collection.”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Linda, 1975-1976</w:t>
      </w:r>
      <w:r w:rsidDel="00000000" w:rsidR="00000000" w:rsidRPr="00000000">
        <w:rPr>
          <w:sz w:val="20"/>
          <w:szCs w:val="20"/>
          <w:rtl w:val="0"/>
        </w:rPr>
        <w:t xml:space="preserve">, Akron Art Museum, </w:t>
      </w:r>
      <w:hyperlink r:id="rId1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akronartmuseum.org/collection/Obj1715?sid=1&amp;x=57183.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​Cohen, Alina. “Unraveling the Mysteries behind Caspar David Friedrich's ‘Wanderer.’”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Artsy</w:t>
      </w:r>
      <w:r w:rsidDel="00000000" w:rsidR="00000000" w:rsidRPr="00000000">
        <w:rPr>
          <w:sz w:val="20"/>
          <w:szCs w:val="20"/>
          <w:rtl w:val="0"/>
        </w:rPr>
        <w:t xml:space="preserve">, 6 Aug. 2018, </w:t>
      </w:r>
      <w:hyperlink r:id="rId1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www.artsy.net/article/artsy-editorial-unraveling-mysteries-caspar-david-friedrichs-wanderer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after="16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Dec. “Best Good vs. Evil Battles.”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Mandatory</w:t>
      </w:r>
      <w:r w:rsidDel="00000000" w:rsidR="00000000" w:rsidRPr="00000000">
        <w:rPr>
          <w:sz w:val="20"/>
          <w:szCs w:val="20"/>
          <w:rtl w:val="0"/>
        </w:rPr>
        <w:t xml:space="preserve">, 21 Feb. 2013, </w:t>
      </w:r>
      <w:hyperlink r:id="rId1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https://www.mandatory.com/fun/141534-best-good-vs-evil-battles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“Diego Rivera, His Life and Art.”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Diego Rivera - Paintings,Murals,Biography of Diego Rivera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https://www.diegorivera.org/.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Downs, Kenya. “Why Is Milwaukee So Bad For Black People?”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NPR</w:t>
      </w:r>
      <w:r w:rsidDel="00000000" w:rsidR="00000000" w:rsidRPr="00000000">
        <w:rPr>
          <w:sz w:val="20"/>
          <w:szCs w:val="20"/>
          <w:rtl w:val="0"/>
        </w:rPr>
        <w:t xml:space="preserve">, NPR, 5 Mar. 2015, </w:t>
      </w:r>
      <w:hyperlink r:id="rId15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www.npr.org/sections/codeswitch/2015/03/05/390723644/why-is-milwaukee-so-bad-for-black-people.​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Dupêcher, Natalie. “René Magritte: MoMA.”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Museum of Modern Art</w:t>
      </w:r>
      <w:r w:rsidDel="00000000" w:rsidR="00000000" w:rsidRPr="00000000">
        <w:rPr>
          <w:sz w:val="20"/>
          <w:szCs w:val="20"/>
          <w:rtl w:val="0"/>
        </w:rPr>
        <w:t xml:space="preserve">, 2017, </w:t>
      </w:r>
      <w:hyperlink r:id="rId1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https://www.moma.org/artists/3692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"Examples of top down lighting" Retrieved from, </w:t>
      </w:r>
      <w:hyperlink r:id="rId1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https://www.pinterest.com/pin/421157002644510788/?lp=true.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"Farmhouse in a Wheatfield - Vincent Van Gogh - Google Arts &amp; Culture." Google. Accessed March 18, 2019. </w:t>
      </w:r>
      <w:hyperlink r:id="rId1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https://artsandculture.google.com/asset/farmhouse-in-a-wheatfield/bQE-6vIUHp9jGQ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“Flag Symbols ***.”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Flag Symbols,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www.signology.org/flag-symbol/index.htm.</w:t>
      </w:r>
    </w:p>
    <w:p w:rsidR="00000000" w:rsidDel="00000000" w:rsidP="00000000" w:rsidRDefault="00000000" w:rsidRPr="00000000" w14:paraId="00000015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Gilmour, Chris. “Chris Gilmour Artworks.”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Chris Gilmour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www.chrisgilmour.com/.</w:t>
      </w:r>
    </w:p>
    <w:p w:rsidR="00000000" w:rsidDel="00000000" w:rsidP="00000000" w:rsidRDefault="00000000" w:rsidRPr="00000000" w14:paraId="00000016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Gogh, Vincent Van. "MoMA Learning." Lee Bontecou. Untitled. 1959 | MoMA. Accessed February 06, 2019. </w:t>
      </w:r>
      <w:hyperlink r:id="rId1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https://www.moma.org/learn/moma_learning/vincent-van-gogh-the-starry-night-1889/.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Hamilton @IndyVoices, Adrian. “Smoke and Mirrors: The Surreal Life and Work of René Magritte.”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Independent</w:t>
      </w:r>
      <w:r w:rsidDel="00000000" w:rsidR="00000000" w:rsidRPr="00000000">
        <w:rPr>
          <w:sz w:val="20"/>
          <w:szCs w:val="20"/>
          <w:rtl w:val="0"/>
        </w:rPr>
        <w:t xml:space="preserve">, Independent Digital News and Media, 23 Oct. 2011, </w:t>
      </w:r>
      <w:hyperlink r:id="rId2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https://www.independent.co.uk/arts-entertainment/art/features/smoke-and-mirrors-the-surreal-life-and-work-of-ren-magritte-2295262.html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“Immortality and the Tree of Life.”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Catholicism.org</w:t>
      </w:r>
      <w:r w:rsidDel="00000000" w:rsidR="00000000" w:rsidRPr="00000000">
        <w:rPr>
          <w:sz w:val="20"/>
          <w:szCs w:val="20"/>
          <w:rtl w:val="0"/>
        </w:rPr>
        <w:t xml:space="preserve">, 14 Jan. 2016. </w:t>
      </w:r>
      <w:hyperlink r:id="rId21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catholicism.org/immortality-and-the-tree-of-life.html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“Joan Miro.”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Guggenheim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https://www.guggenheim.org/artwork/artist/joan-miro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“Johannes Vermeer (1632–1675).”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Metmuseum.org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https://www.metmuseum.org/toah/hd/verm/hd_verm.htm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“Johannes Vermeer and His Paintings.”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Johannes Vermeer and His Paintings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www.johannes-vermeer.org/.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​Lloyd, Peter. “Who Invented the Toothed Gear?”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IdeaConnection: Open Innovation, Problem Solving, Crowdsourcing</w:t>
      </w:r>
      <w:r w:rsidDel="00000000" w:rsidR="00000000" w:rsidRPr="00000000">
        <w:rPr>
          <w:sz w:val="20"/>
          <w:szCs w:val="20"/>
          <w:rtl w:val="0"/>
        </w:rPr>
        <w:t xml:space="preserve">, 2007, </w:t>
      </w:r>
      <w:hyperlink r:id="rId25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www.ideaconnection.com/right-brain-workouts/00346-who-invented-the-toothed-gear.html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Pollock, Jackson. “Jackson Pollock Untitled c. 1943.”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Lee Bontecou. Untitled. 1959 | MoMA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www.moma.org/collection/works/61053?artist_id=4675&amp;locale=en&amp;page=1&amp;sov_referrer=artist.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“Roy Lichtenstein Biography.”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Roy Lichtenstein Foundation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7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https://lichtensteinfoundation.org/biography/.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Scott, Mac. “Obama Hope Poster - Shepard Fairey (2008) – FGD1 The Archive – Medium.”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Medium</w:t>
      </w:r>
      <w:r w:rsidDel="00000000" w:rsidR="00000000" w:rsidRPr="00000000">
        <w:rPr>
          <w:sz w:val="20"/>
          <w:szCs w:val="20"/>
          <w:rtl w:val="0"/>
        </w:rPr>
        <w:t xml:space="preserve">, Medium, 15 Oct. 2017, </w:t>
      </w:r>
      <w:hyperlink r:id="rId28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medium.com/fgd1-the-archive/obama-hope-poster-by-shepard-fairey-1307a8b6c7be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“The Celtic Tree of Life - History, Meaning &amp; Symbolism.”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Tree Removal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www.treeremoval.com/celtic-tree-of-life/#.W_7yhGj2600.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“The Complete Works." Albert Bierstadt - The Complete Works - Page 24. Accessed March 18, 2019. </w:t>
      </w:r>
      <w:hyperlink r:id="rId30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https://www.albertbierstadt.org/the-complete-works.html?pageno=24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spacing w:after="160" w:line="240" w:lineRule="auto"/>
        <w:rPr>
          <w:sz w:val="20"/>
          <w:szCs w:val="20"/>
        </w:rPr>
      </w:pPr>
      <w:hyperlink r:id="rId31">
        <w:r w:rsidDel="00000000" w:rsidR="00000000" w:rsidRPr="00000000">
          <w:rPr>
            <w:sz w:val="20"/>
            <w:szCs w:val="20"/>
            <w:rtl w:val="0"/>
          </w:rPr>
          <w:t xml:space="preserve">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Editors of Encyclopaedia Britannica. “Hendrick De Keyser.”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Encyclopædia Britannica</w:t>
      </w:r>
      <w:r w:rsidDel="00000000" w:rsidR="00000000" w:rsidRPr="00000000">
        <w:rPr>
          <w:sz w:val="20"/>
          <w:szCs w:val="20"/>
          <w:rtl w:val="0"/>
        </w:rPr>
        <w:t xml:space="preserve">, Encyclopædia Britannica, Inc., 11 May 2019, </w:t>
      </w:r>
      <w:hyperlink r:id="rId32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https://www.britannica.com/biography/Hendrick-de-Keyser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“The Mulberry Tree.”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Norton Simon Museum</w:t>
      </w:r>
      <w:r w:rsidDel="00000000" w:rsidR="00000000" w:rsidRPr="00000000">
        <w:rPr>
          <w:sz w:val="20"/>
          <w:szCs w:val="20"/>
          <w:rtl w:val="0"/>
        </w:rPr>
        <w:t xml:space="preserve">, 1 Oct. 1889, </w:t>
      </w:r>
      <w:hyperlink r:id="rId33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www.nortonsimon.org/art/detail/M.1976.09.P.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“Three Wise Monkeys, a Two Thousand Years Symbol Explained.”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Omalaya</w:t>
      </w:r>
      <w:r w:rsidDel="00000000" w:rsidR="00000000" w:rsidRPr="00000000">
        <w:rPr>
          <w:sz w:val="20"/>
          <w:szCs w:val="20"/>
          <w:rtl w:val="0"/>
        </w:rPr>
        <w:t xml:space="preserve">, 25 Nov. 2016, </w:t>
      </w:r>
      <w:hyperlink r:id="rId34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www.omalayatravel.com/three-wise-monkeys-symbol-explained/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Usmonov, Darel. "Solitude." Google. Accessed February 06, 2019. </w:t>
      </w:r>
      <w:hyperlink r:id="rId35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https://artsandculture.google.com/asset/daler-usmonov-solitude/qgGIU_KrzLZYfw.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60" w:line="240" w:lineRule="auto"/>
        <w:rPr>
          <w:color w:val="1155c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“VINCENT VAN GOGH: THE MULBERRY TREE.”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Sunflowers Paintings | Van Gogh Gallery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3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www.vangoghgallery.com/painting/the-mulberry-tree.html.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fldChar w:fldCharType="begin"/>
        <w:instrText xml:space="preserve"> HYPERLINK "https://www.pinterest.com/pin/421157002644510788/?lp=true"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="240" w:lineRule="auto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6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dependent.co.uk/arts-entertainment/art/features/smoke-and-mirrors-the-surreal-life-and-work-of-ren-magritte-2295262.html" TargetMode="External"/><Relationship Id="rId22" Type="http://schemas.openxmlformats.org/officeDocument/2006/relationships/hyperlink" Target="https://www.guggenheim.org/artwork/artist/joan-miro" TargetMode="External"/><Relationship Id="rId21" Type="http://schemas.openxmlformats.org/officeDocument/2006/relationships/hyperlink" Target="http://catholicism.org/immortality-and-the-tree-of-life.html" TargetMode="External"/><Relationship Id="rId24" Type="http://schemas.openxmlformats.org/officeDocument/2006/relationships/hyperlink" Target="http://www.johannes-vermeer.org/" TargetMode="External"/><Relationship Id="rId23" Type="http://schemas.openxmlformats.org/officeDocument/2006/relationships/hyperlink" Target="https://www.metmuseum.org/toah/hd/verm/hd_verm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mpressionists.org/cafe-terrace-at-night.jsp" TargetMode="External"/><Relationship Id="rId26" Type="http://schemas.openxmlformats.org/officeDocument/2006/relationships/hyperlink" Target="https://www.moma.org/collection/works/61053?artist_id=4675&amp;locale=en&amp;page=1&amp;sov_referrer=artist" TargetMode="External"/><Relationship Id="rId25" Type="http://schemas.openxmlformats.org/officeDocument/2006/relationships/hyperlink" Target="https://www.ideaconnection.com/right-brain-workouts/00346-who-invented-the-toothed-gear.html" TargetMode="External"/><Relationship Id="rId28" Type="http://schemas.openxmlformats.org/officeDocument/2006/relationships/hyperlink" Target="http://medium.com/fgd1-the-archive/obama-hope-poster-by-shepard-fairey-1307a8b6c7be" TargetMode="External"/><Relationship Id="rId27" Type="http://schemas.openxmlformats.org/officeDocument/2006/relationships/hyperlink" Target="https://lichtensteinfoundation.org/biography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isitmilwaukee.org/about-mke/diversity-and-inclusion/african-american/" TargetMode="External"/><Relationship Id="rId29" Type="http://schemas.openxmlformats.org/officeDocument/2006/relationships/hyperlink" Target="http://www.treeremoval.com/celtic-tree-of-life/#.W_7yhGj2600" TargetMode="External"/><Relationship Id="rId7" Type="http://schemas.openxmlformats.org/officeDocument/2006/relationships/hyperlink" Target="https://bethesda.net/en/dashboard" TargetMode="External"/><Relationship Id="rId8" Type="http://schemas.openxmlformats.org/officeDocument/2006/relationships/hyperlink" Target="http://www.britannica.com/topic/flag-heraldry" TargetMode="External"/><Relationship Id="rId31" Type="http://schemas.openxmlformats.org/officeDocument/2006/relationships/hyperlink" Target="https://www.pinterest.com/pin/421157002644510788/?lp=true" TargetMode="External"/><Relationship Id="rId30" Type="http://schemas.openxmlformats.org/officeDocument/2006/relationships/hyperlink" Target="https://www.albertbierstadt.org/the-complete-works.html?pageno=24" TargetMode="External"/><Relationship Id="rId11" Type="http://schemas.openxmlformats.org/officeDocument/2006/relationships/hyperlink" Target="https://akronartmuseum.org/collection/Obj1715?sid=1&amp;x=57183" TargetMode="External"/><Relationship Id="rId33" Type="http://schemas.openxmlformats.org/officeDocument/2006/relationships/hyperlink" Target="https://www.nortonsimon.org/art/detail/M.1976.09.P" TargetMode="External"/><Relationship Id="rId10" Type="http://schemas.openxmlformats.org/officeDocument/2006/relationships/hyperlink" Target="http://chuckclose.com/work059.html" TargetMode="External"/><Relationship Id="rId32" Type="http://schemas.openxmlformats.org/officeDocument/2006/relationships/hyperlink" Target="https://www.britannica.com/biography/Hendrick-de-Keyser" TargetMode="External"/><Relationship Id="rId13" Type="http://schemas.openxmlformats.org/officeDocument/2006/relationships/hyperlink" Target="https://www.mandatory.com/fun/141534-best-good-vs-evil-battles" TargetMode="External"/><Relationship Id="rId35" Type="http://schemas.openxmlformats.org/officeDocument/2006/relationships/hyperlink" Target="https://artsandculture.google.com/asset/daler-usmonov-solitude/qgGIU_KrzLZYfw" TargetMode="External"/><Relationship Id="rId12" Type="http://schemas.openxmlformats.org/officeDocument/2006/relationships/hyperlink" Target="http://www.artsy.net/article/artsy-editorial-unraveling-mysteries-caspar-david-friedrichs-wanderer" TargetMode="External"/><Relationship Id="rId34" Type="http://schemas.openxmlformats.org/officeDocument/2006/relationships/hyperlink" Target="http://www.omalayatravel.com/three-wise-monkeys-symbol-explained/" TargetMode="External"/><Relationship Id="rId15" Type="http://schemas.openxmlformats.org/officeDocument/2006/relationships/hyperlink" Target="https://www.npr.org/sections/codeswitch/2015/03/05/390723644/why-is-milwaukee-so-bad-for-black-people" TargetMode="External"/><Relationship Id="rId14" Type="http://schemas.openxmlformats.org/officeDocument/2006/relationships/hyperlink" Target="https://www.diegorivera.org/" TargetMode="External"/><Relationship Id="rId36" Type="http://schemas.openxmlformats.org/officeDocument/2006/relationships/hyperlink" Target="http://www.vangoghgallery.com/painting/the-mulberry-tree.html" TargetMode="External"/><Relationship Id="rId17" Type="http://schemas.openxmlformats.org/officeDocument/2006/relationships/hyperlink" Target="https://www.pinterest.com/pin/421157002644510788/?lp=true" TargetMode="External"/><Relationship Id="rId16" Type="http://schemas.openxmlformats.org/officeDocument/2006/relationships/hyperlink" Target="https://www.moma.org/artists/3692" TargetMode="External"/><Relationship Id="rId19" Type="http://schemas.openxmlformats.org/officeDocument/2006/relationships/hyperlink" Target="http://www.citationmachine.net/bibliographies/406671868?new=true" TargetMode="External"/><Relationship Id="rId18" Type="http://schemas.openxmlformats.org/officeDocument/2006/relationships/hyperlink" Target="https://artsandculture.google.com/asset/farmhouse-in-a-wheatfield/bQE-6vIUHp9j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